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F7B354E" w:rsidR="00303112" w:rsidRPr="00BF6164" w:rsidRDefault="003B6FF0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NEFROLOGII I DIALIZOTERAPII 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5A39CA5F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3B6FF0">
        <w:rPr>
          <w:rStyle w:val="FontStyle24"/>
          <w:rFonts w:ascii="Arial Narrow" w:hAnsi="Arial Narrow"/>
          <w:sz w:val="24"/>
          <w:szCs w:val="24"/>
        </w:rPr>
        <w:t xml:space="preserve">w ramach </w:t>
      </w:r>
      <w:r w:rsidR="003B6FF0" w:rsidRPr="003B6FF0">
        <w:rPr>
          <w:rStyle w:val="FontStyle24"/>
          <w:rFonts w:ascii="Arial Narrow" w:hAnsi="Arial Narrow"/>
          <w:sz w:val="24"/>
          <w:szCs w:val="24"/>
          <w:highlight w:val="yellow"/>
        </w:rPr>
        <w:t>dyżurów</w:t>
      </w:r>
      <w:r w:rsidR="003B6FF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BF6164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3B6FF0">
        <w:rPr>
          <w:rStyle w:val="FontStyle24"/>
          <w:rFonts w:ascii="Arial Narrow" w:hAnsi="Arial Narrow"/>
          <w:sz w:val="24"/>
          <w:szCs w:val="24"/>
        </w:rPr>
        <w:t>Nefrologii i Dializoterapii</w:t>
      </w:r>
      <w:r w:rsidR="00D96DCD">
        <w:rPr>
          <w:rStyle w:val="FontStyle24"/>
          <w:rFonts w:ascii="Arial Narrow" w:hAnsi="Arial Narrow"/>
          <w:sz w:val="24"/>
          <w:szCs w:val="24"/>
        </w:rPr>
        <w:t xml:space="preserve"> pacjentom USK. 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744616A2" w:rsidR="005A6A45" w:rsidRPr="00160520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="00013130"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 </w:t>
      </w:r>
      <w:r w:rsidR="005A007D" w:rsidRPr="00160520">
        <w:rPr>
          <w:rFonts w:ascii="Arial Narrow" w:hAnsi="Arial Narrow"/>
          <w:b/>
        </w:rPr>
        <w:t xml:space="preserve"> do godz</w:t>
      </w:r>
      <w:r w:rsidR="00CA0D55" w:rsidRPr="00160520">
        <w:rPr>
          <w:rFonts w:ascii="Arial Narrow" w:hAnsi="Arial Narrow"/>
          <w:b/>
        </w:rPr>
        <w:t xml:space="preserve">. </w:t>
      </w:r>
      <w:r w:rsidR="00013130" w:rsidRPr="00160520">
        <w:rPr>
          <w:rFonts w:ascii="Arial Narrow" w:hAnsi="Arial Narrow"/>
          <w:b/>
        </w:rPr>
        <w:t>09:</w:t>
      </w:r>
      <w:r w:rsidR="00170846" w:rsidRPr="00160520">
        <w:rPr>
          <w:rFonts w:ascii="Arial Narrow" w:hAnsi="Arial Narrow"/>
          <w:b/>
        </w:rPr>
        <w:t>00</w:t>
      </w:r>
    </w:p>
    <w:p w14:paraId="5A1A5CFA" w14:textId="77777777" w:rsidR="005A6A45" w:rsidRPr="0016052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16052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160520">
        <w:rPr>
          <w:rFonts w:ascii="Arial Narrow" w:hAnsi="Arial Narrow"/>
          <w:bCs/>
        </w:rPr>
        <w:t xml:space="preserve">Uniwersyteckiego Szpitala Klinicznego im. Fryderyka Chopina w Rzeszowie, </w:t>
      </w:r>
      <w:r w:rsidRPr="0016052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16052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16052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16052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16052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6052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6052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60520">
        <w:rPr>
          <w:rStyle w:val="FontStyle24"/>
          <w:rFonts w:ascii="Arial Narrow" w:hAnsi="Arial Narrow"/>
          <w:sz w:val="24"/>
          <w:szCs w:val="24"/>
        </w:rPr>
        <w:t>e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6052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721B8AD5" w:rsidR="005A6A45" w:rsidRPr="001605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="00013130"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</w:t>
      </w:r>
      <w:r w:rsidR="00360855" w:rsidRPr="00160520">
        <w:rPr>
          <w:rFonts w:ascii="Arial Narrow" w:hAnsi="Arial Narrow"/>
          <w:b/>
        </w:rPr>
        <w:t xml:space="preserve"> </w:t>
      </w:r>
      <w:r w:rsidR="00215F75" w:rsidRPr="00160520">
        <w:rPr>
          <w:rFonts w:ascii="Arial Narrow" w:hAnsi="Arial Narrow"/>
          <w:b/>
        </w:rPr>
        <w:t>o</w:t>
      </w:r>
      <w:r w:rsidR="005A007D" w:rsidRPr="00160520">
        <w:rPr>
          <w:rFonts w:ascii="Arial Narrow" w:hAnsi="Arial Narrow"/>
          <w:b/>
        </w:rPr>
        <w:t xml:space="preserve"> godz</w:t>
      </w:r>
      <w:r w:rsidR="005A6A45" w:rsidRPr="00160520">
        <w:rPr>
          <w:rFonts w:ascii="Arial Narrow" w:hAnsi="Arial Narrow"/>
          <w:b/>
        </w:rPr>
        <w:t xml:space="preserve">. </w:t>
      </w:r>
      <w:r w:rsidR="00170846" w:rsidRPr="00160520">
        <w:rPr>
          <w:rFonts w:ascii="Arial Narrow" w:hAnsi="Arial Narrow"/>
          <w:b/>
        </w:rPr>
        <w:t>1</w:t>
      </w:r>
      <w:r w:rsidR="00013130" w:rsidRPr="00160520">
        <w:rPr>
          <w:rFonts w:ascii="Arial Narrow" w:hAnsi="Arial Narrow"/>
          <w:b/>
        </w:rPr>
        <w:t>0:</w:t>
      </w:r>
      <w:r w:rsidR="00170846" w:rsidRPr="00160520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160520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Konkurs zostanie rozstrzygnięty w dniu</w:t>
      </w:r>
      <w:r w:rsidR="005A007D" w:rsidRPr="00160520">
        <w:rPr>
          <w:rFonts w:ascii="Arial Narrow" w:hAnsi="Arial Narrow"/>
          <w:sz w:val="24"/>
          <w:szCs w:val="24"/>
        </w:rPr>
        <w:t>:</w:t>
      </w:r>
    </w:p>
    <w:p w14:paraId="01A4148C" w14:textId="05B89766" w:rsidR="005A6A45" w:rsidRPr="003E3218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160520">
        <w:rPr>
          <w:rFonts w:ascii="Arial Narrow" w:hAnsi="Arial Narrow"/>
          <w:b/>
        </w:rPr>
        <w:t>1</w:t>
      </w:r>
      <w:r w:rsidR="00AA60F9" w:rsidRPr="00160520">
        <w:rPr>
          <w:rFonts w:ascii="Arial Narrow" w:hAnsi="Arial Narrow"/>
          <w:b/>
        </w:rPr>
        <w:t>6</w:t>
      </w:r>
      <w:r w:rsidR="00170846" w:rsidRPr="00160520">
        <w:rPr>
          <w:rFonts w:ascii="Arial Narrow" w:hAnsi="Arial Narrow"/>
          <w:b/>
        </w:rPr>
        <w:t xml:space="preserve"> </w:t>
      </w:r>
      <w:r w:rsidRPr="00160520">
        <w:rPr>
          <w:rFonts w:ascii="Arial Narrow" w:hAnsi="Arial Narrow"/>
          <w:b/>
        </w:rPr>
        <w:t>kwietnia</w:t>
      </w:r>
      <w:r w:rsidR="00170846" w:rsidRPr="00160520">
        <w:rPr>
          <w:rFonts w:ascii="Arial Narrow" w:hAnsi="Arial Narrow"/>
          <w:b/>
        </w:rPr>
        <w:t xml:space="preserve"> 2025 r. do godz. 1</w:t>
      </w:r>
      <w:r w:rsidRPr="00160520">
        <w:rPr>
          <w:rFonts w:ascii="Arial Narrow" w:hAnsi="Arial Narrow"/>
          <w:b/>
        </w:rPr>
        <w:t>2:</w:t>
      </w:r>
      <w:r w:rsidR="00170846" w:rsidRPr="00160520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4C3F77" w14:textId="77777777" w:rsidR="003A68F7" w:rsidRDefault="003A68F7" w:rsidP="00593A44">
      <w:pPr>
        <w:spacing w:line="360" w:lineRule="auto"/>
      </w:pPr>
    </w:p>
    <w:p w14:paraId="33B564D3" w14:textId="77777777" w:rsidR="006816B4" w:rsidRDefault="006816B4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4"/>
              <w:gridCol w:w="2833"/>
            </w:tblGrid>
            <w:tr w:rsidR="00CE78C9" w:rsidRPr="001A04F8" w14:paraId="0698746C" w14:textId="77777777" w:rsidTr="00FE70FA">
              <w:trPr>
                <w:trHeight w:val="1114"/>
              </w:trPr>
              <w:tc>
                <w:tcPr>
                  <w:tcW w:w="6254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833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FE70FA">
              <w:trPr>
                <w:trHeight w:val="568"/>
              </w:trPr>
              <w:tc>
                <w:tcPr>
                  <w:tcW w:w="6254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02EA1881" w:rsidR="00CE78C9" w:rsidRPr="00222D2D" w:rsidRDefault="00222D2D" w:rsidP="00222D2D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Cs/>
                    </w:rPr>
                  </w:pPr>
                  <w:r w:rsidRPr="004F2A01">
                    <w:rPr>
                      <w:rFonts w:ascii="Arial Narrow" w:hAnsi="Arial Narrow" w:cs="Tahoma"/>
                      <w:bCs/>
                      <w:sz w:val="24"/>
                      <w:szCs w:val="24"/>
                      <w:highlight w:val="yellow"/>
                    </w:rPr>
                    <w:t>cena za 1 godzinę pracy w dni dyżurowe bez zabiegów hemodializ</w:t>
                  </w:r>
                </w:p>
              </w:tc>
              <w:tc>
                <w:tcPr>
                  <w:tcW w:w="2833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61BA5791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nt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2F76BBF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31F807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A04F8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158F376F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892007">
        <w:rPr>
          <w:rFonts w:ascii="Century Gothic" w:hAnsi="Century Gothic"/>
          <w:sz w:val="20"/>
          <w:szCs w:val="20"/>
          <w:lang w:val="x-none"/>
        </w:rPr>
        <w:t>………………………..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892007">
        <w:rPr>
          <w:rFonts w:ascii="Century Gothic" w:hAnsi="Century Gothic"/>
          <w:bCs/>
          <w:iCs/>
          <w:sz w:val="20"/>
          <w:szCs w:val="20"/>
          <w:lang w:val="x-none"/>
        </w:rPr>
        <w:t>……………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lastRenderedPageBreak/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FFFCFB" w14:textId="77777777" w:rsidR="00C2453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F2195D1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436708F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76824F5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5D3DD80" w14:textId="77777777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224B5277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066919BD" w14:textId="2085532E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C24538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FC46" w14:textId="77777777" w:rsidR="001E25F0" w:rsidRDefault="001E25F0" w:rsidP="003127FF">
      <w:pPr>
        <w:spacing w:after="0" w:line="240" w:lineRule="auto"/>
      </w:pPr>
      <w:r>
        <w:separator/>
      </w:r>
    </w:p>
  </w:endnote>
  <w:endnote w:type="continuationSeparator" w:id="0">
    <w:p w14:paraId="4764AF5F" w14:textId="77777777" w:rsidR="001E25F0" w:rsidRDefault="001E25F0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38BE" w14:textId="77777777" w:rsidR="001E25F0" w:rsidRDefault="001E25F0" w:rsidP="003127FF">
      <w:pPr>
        <w:spacing w:after="0" w:line="240" w:lineRule="auto"/>
      </w:pPr>
      <w:r>
        <w:separator/>
      </w:r>
    </w:p>
  </w:footnote>
  <w:footnote w:type="continuationSeparator" w:id="0">
    <w:p w14:paraId="73DC8223" w14:textId="77777777" w:rsidR="001E25F0" w:rsidRDefault="001E25F0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1458"/>
    <w:rsid w:val="00013130"/>
    <w:rsid w:val="00026DDE"/>
    <w:rsid w:val="00033AE2"/>
    <w:rsid w:val="00035BBC"/>
    <w:rsid w:val="00037C94"/>
    <w:rsid w:val="00044515"/>
    <w:rsid w:val="00094CCB"/>
    <w:rsid w:val="000B7F4C"/>
    <w:rsid w:val="000D4763"/>
    <w:rsid w:val="000F0A2B"/>
    <w:rsid w:val="000F1AEE"/>
    <w:rsid w:val="000F65E9"/>
    <w:rsid w:val="000F781F"/>
    <w:rsid w:val="001158C6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A04F8"/>
    <w:rsid w:val="001D09A9"/>
    <w:rsid w:val="001E25F0"/>
    <w:rsid w:val="001E55D4"/>
    <w:rsid w:val="00200BA1"/>
    <w:rsid w:val="00215F75"/>
    <w:rsid w:val="00222D2D"/>
    <w:rsid w:val="00237DC0"/>
    <w:rsid w:val="002405A6"/>
    <w:rsid w:val="00243359"/>
    <w:rsid w:val="002440A5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4168"/>
    <w:rsid w:val="0038212B"/>
    <w:rsid w:val="00390052"/>
    <w:rsid w:val="00394C1B"/>
    <w:rsid w:val="00396C4B"/>
    <w:rsid w:val="003A68F7"/>
    <w:rsid w:val="003B6FF0"/>
    <w:rsid w:val="003D14F8"/>
    <w:rsid w:val="003D156B"/>
    <w:rsid w:val="003D47D1"/>
    <w:rsid w:val="003E3218"/>
    <w:rsid w:val="003F5CF7"/>
    <w:rsid w:val="00403A46"/>
    <w:rsid w:val="0040719A"/>
    <w:rsid w:val="00421469"/>
    <w:rsid w:val="00421EBD"/>
    <w:rsid w:val="00437EC1"/>
    <w:rsid w:val="004459F2"/>
    <w:rsid w:val="0045751F"/>
    <w:rsid w:val="00466191"/>
    <w:rsid w:val="0047090F"/>
    <w:rsid w:val="0047319E"/>
    <w:rsid w:val="004B52CB"/>
    <w:rsid w:val="004C16F6"/>
    <w:rsid w:val="004C620B"/>
    <w:rsid w:val="004E3A68"/>
    <w:rsid w:val="004E3BC5"/>
    <w:rsid w:val="004F0A5C"/>
    <w:rsid w:val="004F2A01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9A0"/>
    <w:rsid w:val="005A007D"/>
    <w:rsid w:val="005A6A45"/>
    <w:rsid w:val="005B0368"/>
    <w:rsid w:val="005D1FB8"/>
    <w:rsid w:val="005E0657"/>
    <w:rsid w:val="005F1C1F"/>
    <w:rsid w:val="006046C2"/>
    <w:rsid w:val="00631380"/>
    <w:rsid w:val="0064411B"/>
    <w:rsid w:val="00654179"/>
    <w:rsid w:val="006816B4"/>
    <w:rsid w:val="006A53B3"/>
    <w:rsid w:val="006B6138"/>
    <w:rsid w:val="006B6D38"/>
    <w:rsid w:val="006C141B"/>
    <w:rsid w:val="006C65E2"/>
    <w:rsid w:val="006D6B8F"/>
    <w:rsid w:val="006F3C56"/>
    <w:rsid w:val="007051B0"/>
    <w:rsid w:val="00743FF7"/>
    <w:rsid w:val="00747C31"/>
    <w:rsid w:val="00753212"/>
    <w:rsid w:val="00757733"/>
    <w:rsid w:val="00762F8D"/>
    <w:rsid w:val="00764752"/>
    <w:rsid w:val="00770778"/>
    <w:rsid w:val="00780523"/>
    <w:rsid w:val="007807C7"/>
    <w:rsid w:val="007818DC"/>
    <w:rsid w:val="007956BE"/>
    <w:rsid w:val="00795D0E"/>
    <w:rsid w:val="007967EA"/>
    <w:rsid w:val="007A533D"/>
    <w:rsid w:val="007D476B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92007"/>
    <w:rsid w:val="008B327C"/>
    <w:rsid w:val="008D1856"/>
    <w:rsid w:val="008D6031"/>
    <w:rsid w:val="008E536C"/>
    <w:rsid w:val="008F2166"/>
    <w:rsid w:val="0090105E"/>
    <w:rsid w:val="0090415C"/>
    <w:rsid w:val="00905768"/>
    <w:rsid w:val="00907CD1"/>
    <w:rsid w:val="00933D44"/>
    <w:rsid w:val="0094634B"/>
    <w:rsid w:val="009523B5"/>
    <w:rsid w:val="009620D4"/>
    <w:rsid w:val="00994652"/>
    <w:rsid w:val="009947B4"/>
    <w:rsid w:val="009B0359"/>
    <w:rsid w:val="009C0FC8"/>
    <w:rsid w:val="009E74A5"/>
    <w:rsid w:val="009F3066"/>
    <w:rsid w:val="00A013DC"/>
    <w:rsid w:val="00A0573C"/>
    <w:rsid w:val="00A200A7"/>
    <w:rsid w:val="00A2154B"/>
    <w:rsid w:val="00A32E06"/>
    <w:rsid w:val="00A56A62"/>
    <w:rsid w:val="00A65B6A"/>
    <w:rsid w:val="00A66BB7"/>
    <w:rsid w:val="00A67074"/>
    <w:rsid w:val="00A71237"/>
    <w:rsid w:val="00A7291C"/>
    <w:rsid w:val="00A81D6A"/>
    <w:rsid w:val="00A969D1"/>
    <w:rsid w:val="00AA60F9"/>
    <w:rsid w:val="00AB0A46"/>
    <w:rsid w:val="00AD0FF5"/>
    <w:rsid w:val="00AD244F"/>
    <w:rsid w:val="00AF499E"/>
    <w:rsid w:val="00B1235B"/>
    <w:rsid w:val="00B21BCF"/>
    <w:rsid w:val="00B30350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71F3"/>
    <w:rsid w:val="00EF4CD2"/>
    <w:rsid w:val="00EF584D"/>
    <w:rsid w:val="00F14957"/>
    <w:rsid w:val="00F224B0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E70FA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5710</Words>
  <Characters>34261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37</cp:revision>
  <cp:lastPrinted>2025-04-07T06:37:00Z</cp:lastPrinted>
  <dcterms:created xsi:type="dcterms:W3CDTF">2025-04-04T09:25:00Z</dcterms:created>
  <dcterms:modified xsi:type="dcterms:W3CDTF">2025-04-10T10:06:00Z</dcterms:modified>
</cp:coreProperties>
</file>